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Correo trimestral - Dirección Comercial Consumo (OTC Sanfer)</w:t>
      </w:r>
    </w:p>
    <w:p>
      <w:r>
        <w:br/>
        <w:t>De: Dirección Comercial Consumo</w:t>
        <w:br/>
        <w:t>Para: Equipo de Ventas OTC</w:t>
        <w:br/>
        <w:t>Asunto: Resultados del cierre del trimestre y próximos pasos</w:t>
        <w:br/>
        <w:t>Fecha: 8 de noviembre de 2025</w:t>
        <w:br/>
      </w:r>
    </w:p>
    <w:p>
      <w:r>
        <w:br/>
        <w:t>Estimado equipo,</w:t>
        <w:br/>
      </w:r>
    </w:p>
    <w:p>
      <w:r>
        <w:br/>
        <w:t xml:space="preserve">Quiero compartir con ustedes el resumen general de resultados del trimestre julio-septiembre. En términos globales, </w:t>
        <w:br/>
        <w:t xml:space="preserve">cerramos con un crecimiento del 8.6% vs el mismo periodo del año anterior. Si bien es un avance positivo, seguimos </w:t>
        <w:br/>
        <w:t xml:space="preserve">por debajo del objetivo proyectado del 10.5%. Las categorías de respiratorio y analgésicos fueron las principales </w:t>
        <w:br/>
        <w:t>impulsoras, mientras que digestivos y vitaminas mostraron un crecimiento más moderado.</w:t>
        <w:br/>
      </w:r>
    </w:p>
    <w:p>
      <w:r>
        <w:br/>
        <w:t xml:space="preserve">En la división respiratoria, Mucosolvan y Broncho-Vaxom superaron las expectativas. Mucosolvan tuvo un crecimiento </w:t>
        <w:br/>
        <w:t xml:space="preserve">del 14%, impulsado principalmente por la campaña “El invierno no te detiene” y por la alta presencia en farmacias. </w:t>
        <w:br/>
        <w:t xml:space="preserve">Broncho-Vaxom creció 9%, con buena respuesta en el canal digital, pero aún falta reforzar la comunicación en punto </w:t>
        <w:br/>
        <w:t>de venta físico.</w:t>
        <w:br/>
      </w:r>
    </w:p>
    <w:p>
      <w:r>
        <w:br/>
        <w:t xml:space="preserve">En analgésicos, Treda mostró estabilidad (+3%), mientras que Lonol alcanzó un incremento del 11%, apoyado por la </w:t>
        <w:br/>
        <w:t xml:space="preserve">estrategia de visibilidad y promociones cruzadas con cadenas clave (Farmacias del Ahorro y Benavides). En digestivos, </w:t>
        <w:br/>
        <w:t>se mantiene una desaceleración (-2%) atribuida a la competencia de genéricos y menor rotación en supermercados.</w:t>
        <w:br/>
      </w:r>
    </w:p>
    <w:p>
      <w:r>
        <w:br/>
        <w:t xml:space="preserve">Respecto a las regiones, la zona norte superó metas (+12%), impulsada por la fuerza de ventas local y acciones en </w:t>
        <w:br/>
        <w:t xml:space="preserve">campo. El centro del país creció 6%, mientras que la zona sur sigue rezagada (+2%), principalmente por baja </w:t>
        <w:br/>
        <w:t xml:space="preserve">disponibilidad de producto y cobertura limitada. Se acordó con logística reforzar entregas y seguimiento con </w:t>
        <w:br/>
        <w:t>distribuidores.</w:t>
        <w:br/>
      </w:r>
    </w:p>
    <w:p>
      <w:r>
        <w:br/>
        <w:t>Entre los aprendizajes clave:</w:t>
        <w:br/>
        <w:t>- Las campañas con mensaje emocional tuvieron mejor recordación (caso Mucosolvan).</w:t>
        <w:br/>
        <w:t>- Las alianzas con cadenas de farmacia generaron mayor retorno que las promociones genéricas.</w:t>
        <w:br/>
        <w:t>- Se requiere mejorar el seguimiento a indicadores por territorio y representante.</w:t>
        <w:br/>
      </w:r>
    </w:p>
    <w:p>
      <w:r>
        <w:br/>
        <w:t>Para el próximo trimestre (Q4), el foco será:</w:t>
        <w:br/>
        <w:t>1. Consolidar el liderazgo en respiratorio con acciones estacionales.</w:t>
        <w:br/>
        <w:t>2. Reactivar la categoría digestivos mediante nuevos materiales POP y promociones cruzadas.</w:t>
        <w:br/>
        <w:t>3. Implementar dashboard comercial semanal en Power BI.</w:t>
        <w:br/>
        <w:t>4. Fortalecer capacitación en storytelling comercial con IA para representantes.</w:t>
        <w:br/>
      </w:r>
    </w:p>
    <w:p>
      <w:r>
        <w:br/>
        <w:t xml:space="preserve">Les agradezco el esfuerzo y compromiso. Seguimos avanzando con el objetivo de cerrar el año con doble dígito y </w:t>
        <w:br/>
        <w:t>consolidar nuestro liderazgo en el portafolio OTC.</w:t>
        <w:br/>
      </w:r>
    </w:p>
    <w:p>
      <w:r>
        <w:br/>
        <w:t xml:space="preserve">Saludos,  </w:t>
        <w:br/>
        <w:t>Dirección Comercial Consumo – Sanfer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